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8F139C">
        <w:rPr>
          <w:b/>
          <w:sz w:val="32"/>
        </w:rPr>
        <w:t xml:space="preserve">Dr. Matthews PSYC </w:t>
      </w:r>
      <w:r w:rsidR="00073038">
        <w:rPr>
          <w:b/>
          <w:sz w:val="32"/>
        </w:rPr>
        <w:t>206</w:t>
      </w:r>
      <w:r w:rsidR="008F139C">
        <w:rPr>
          <w:b/>
          <w:sz w:val="32"/>
        </w:rPr>
        <w:t xml:space="preserve"> Integrative Essay #1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073038">
        <w:rPr>
          <w:b/>
          <w:sz w:val="32"/>
        </w:rPr>
        <w:t>1:30</w:t>
      </w:r>
      <w:r>
        <w:rPr>
          <w:b/>
          <w:sz w:val="32"/>
        </w:rPr>
        <w:t xml:space="preserve"> </w:t>
      </w:r>
      <w:r w:rsidR="00073038">
        <w:rPr>
          <w:b/>
          <w:sz w:val="32"/>
        </w:rPr>
        <w:t>PM</w:t>
      </w:r>
      <w:r>
        <w:rPr>
          <w:b/>
          <w:sz w:val="32"/>
        </w:rPr>
        <w:t xml:space="preserve"> (sharp!), T</w:t>
      </w:r>
      <w:r w:rsidR="008C4568">
        <w:rPr>
          <w:b/>
          <w:sz w:val="32"/>
        </w:rPr>
        <w:t>hursday</w:t>
      </w:r>
      <w:bookmarkStart w:id="0" w:name="_GoBack"/>
      <w:bookmarkEnd w:id="0"/>
      <w:r>
        <w:rPr>
          <w:b/>
          <w:sz w:val="32"/>
        </w:rPr>
        <w:t xml:space="preserve"> </w:t>
      </w:r>
      <w:r w:rsidR="00073038">
        <w:rPr>
          <w:b/>
          <w:sz w:val="32"/>
        </w:rPr>
        <w:t>March 2</w:t>
      </w:r>
      <w:r w:rsidR="00073038" w:rsidRPr="00073038">
        <w:rPr>
          <w:b/>
          <w:sz w:val="32"/>
          <w:vertAlign w:val="superscript"/>
        </w:rPr>
        <w:t>nd</w:t>
      </w:r>
      <w:r w:rsidR="00073038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>Worth 100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073038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Music, Brain &amp; Behavior</w:t>
      </w:r>
      <w:r w:rsidR="00544DAE">
        <w:rPr>
          <w:rFonts w:ascii="Lucida Calligraphy" w:hAnsi="Lucida Calligraphy"/>
          <w:szCs w:val="24"/>
        </w:rPr>
        <w:t xml:space="preserve"> in the Public Library of Science</w:t>
      </w:r>
    </w:p>
    <w:p w:rsidR="008F139C" w:rsidRPr="00073038" w:rsidRDefault="00A342A8" w:rsidP="008F139C">
      <w:pPr>
        <w:pStyle w:val="BodyText3"/>
        <w:spacing w:line="240" w:lineRule="auto"/>
        <w:jc w:val="left"/>
        <w:rPr>
          <w:sz w:val="22"/>
          <w:szCs w:val="22"/>
        </w:rPr>
      </w:pPr>
      <w:r w:rsidRPr="00073038">
        <w:rPr>
          <w:sz w:val="22"/>
          <w:szCs w:val="22"/>
        </w:rPr>
        <w:t xml:space="preserve">This assignment will </w:t>
      </w:r>
      <w:r w:rsidR="008F139C" w:rsidRPr="00073038">
        <w:rPr>
          <w:sz w:val="22"/>
          <w:szCs w:val="22"/>
        </w:rPr>
        <w:t xml:space="preserve">improve your </w:t>
      </w:r>
      <w:r w:rsidRPr="00073038">
        <w:rPr>
          <w:sz w:val="22"/>
          <w:szCs w:val="22"/>
        </w:rPr>
        <w:t>writing</w:t>
      </w:r>
      <w:r w:rsidR="008F139C" w:rsidRPr="00073038">
        <w:rPr>
          <w:sz w:val="22"/>
          <w:szCs w:val="22"/>
        </w:rPr>
        <w:t xml:space="preserve">, </w:t>
      </w:r>
      <w:r w:rsidR="00073038" w:rsidRPr="00073038">
        <w:rPr>
          <w:sz w:val="22"/>
          <w:szCs w:val="22"/>
        </w:rPr>
        <w:t xml:space="preserve">and </w:t>
      </w:r>
      <w:r w:rsidR="008F139C" w:rsidRPr="00073038">
        <w:rPr>
          <w:sz w:val="22"/>
          <w:szCs w:val="22"/>
        </w:rPr>
        <w:t xml:space="preserve">refine your </w:t>
      </w:r>
      <w:r w:rsidR="00073038" w:rsidRPr="00073038">
        <w:rPr>
          <w:sz w:val="22"/>
          <w:szCs w:val="22"/>
        </w:rPr>
        <w:t xml:space="preserve">ability to integrate music and psychology. </w:t>
      </w:r>
      <w:r w:rsidR="00935CFF" w:rsidRPr="00073038">
        <w:rPr>
          <w:sz w:val="22"/>
          <w:szCs w:val="22"/>
        </w:rPr>
        <w:t xml:space="preserve"> </w:t>
      </w:r>
      <w:r w:rsidR="008F139C" w:rsidRPr="00073038">
        <w:rPr>
          <w:sz w:val="22"/>
          <w:szCs w:val="22"/>
        </w:rPr>
        <w:t xml:space="preserve">Begin by </w:t>
      </w:r>
      <w:r w:rsidR="00073038" w:rsidRPr="00073038">
        <w:rPr>
          <w:sz w:val="22"/>
          <w:szCs w:val="22"/>
        </w:rPr>
        <w:t>read</w:t>
      </w:r>
      <w:r w:rsidR="00544DAE">
        <w:rPr>
          <w:sz w:val="22"/>
          <w:szCs w:val="22"/>
        </w:rPr>
        <w:t xml:space="preserve">ing the following articles, freely available online in the </w:t>
      </w:r>
      <w:hyperlink r:id="rId8" w:history="1">
        <w:r w:rsidR="00544DAE" w:rsidRPr="00E87D51">
          <w:rPr>
            <w:rStyle w:val="Hyperlink"/>
            <w:sz w:val="22"/>
            <w:szCs w:val="22"/>
          </w:rPr>
          <w:t>Public Library of Science (PLOS).</w:t>
        </w:r>
      </w:hyperlink>
    </w:p>
    <w:p w:rsidR="008F139C" w:rsidRPr="008F139C" w:rsidRDefault="008F139C" w:rsidP="008F139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</w:p>
    <w:p w:rsidR="00073038" w:rsidRPr="00073038" w:rsidRDefault="00073038" w:rsidP="00073038">
      <w:pPr>
        <w:rPr>
          <w:rFonts w:ascii="Times New Roman" w:hAnsi="Times New Roman"/>
          <w:sz w:val="22"/>
          <w:szCs w:val="22"/>
        </w:rPr>
      </w:pPr>
      <w:r w:rsidRPr="00073038">
        <w:rPr>
          <w:rFonts w:ascii="Times New Roman" w:hAnsi="Times New Roman"/>
          <w:sz w:val="22"/>
          <w:szCs w:val="22"/>
        </w:rPr>
        <w:t xml:space="preserve">1. </w:t>
      </w:r>
      <w:hyperlink r:id="rId9" w:history="1">
        <w:r w:rsidRPr="00544DAE">
          <w:rPr>
            <w:rStyle w:val="Hyperlink"/>
            <w:rFonts w:ascii="Times New Roman" w:hAnsi="Times New Roman"/>
            <w:sz w:val="22"/>
            <w:szCs w:val="22"/>
          </w:rPr>
          <w:t xml:space="preserve">Huang, P., Huang, H., Luo, Q., &amp; Mo, L. (2016). The Difference between Aesthetic Appreciation of Artistic and Popular Music: Evidence from an fMRI Study. </w:t>
        </w:r>
        <w:r w:rsidRPr="00544DAE">
          <w:rPr>
            <w:rStyle w:val="Hyperlink"/>
            <w:rFonts w:ascii="Times New Roman" w:hAnsi="Times New Roman"/>
            <w:i/>
            <w:iCs/>
            <w:sz w:val="22"/>
            <w:szCs w:val="22"/>
          </w:rPr>
          <w:t>PLoS One, 11</w:t>
        </w:r>
        <w:r w:rsidRPr="00544DAE">
          <w:rPr>
            <w:rStyle w:val="Hyperlink"/>
            <w:rFonts w:ascii="Times New Roman" w:hAnsi="Times New Roman"/>
            <w:sz w:val="22"/>
            <w:szCs w:val="22"/>
          </w:rPr>
          <w:t>(11), e0165377. doi:10.1371/journal.pone.0165377</w:t>
        </w:r>
      </w:hyperlink>
    </w:p>
    <w:p w:rsidR="00073038" w:rsidRPr="00073038" w:rsidRDefault="00073038" w:rsidP="00073038">
      <w:pPr>
        <w:rPr>
          <w:rFonts w:ascii="Times New Roman" w:hAnsi="Times New Roman"/>
          <w:sz w:val="22"/>
          <w:szCs w:val="22"/>
        </w:rPr>
      </w:pPr>
    </w:p>
    <w:p w:rsidR="00073038" w:rsidRPr="0051323A" w:rsidRDefault="00073038" w:rsidP="00073038">
      <w:pPr>
        <w:rPr>
          <w:rStyle w:val="Hyperlink"/>
          <w:rFonts w:ascii="Times New Roman" w:hAnsi="Times New Roman"/>
          <w:sz w:val="22"/>
          <w:szCs w:val="22"/>
        </w:rPr>
      </w:pPr>
      <w:r w:rsidRPr="00073038">
        <w:rPr>
          <w:rFonts w:ascii="Times New Roman" w:hAnsi="Times New Roman"/>
          <w:sz w:val="22"/>
          <w:szCs w:val="22"/>
        </w:rPr>
        <w:t xml:space="preserve">2. </w:t>
      </w:r>
      <w:r w:rsidR="0051323A">
        <w:rPr>
          <w:rFonts w:ascii="Times New Roman" w:hAnsi="Times New Roman"/>
          <w:sz w:val="22"/>
          <w:szCs w:val="22"/>
        </w:rPr>
        <w:fldChar w:fldCharType="begin"/>
      </w:r>
      <w:r w:rsidR="0051323A">
        <w:rPr>
          <w:rFonts w:ascii="Times New Roman" w:hAnsi="Times New Roman"/>
          <w:sz w:val="22"/>
          <w:szCs w:val="22"/>
        </w:rPr>
        <w:instrText xml:space="preserve"> HYPERLINK "http://journals.plos.org/plosone/article?id=10.1371/journal.pone.0087176" </w:instrText>
      </w:r>
      <w:r w:rsidR="0051323A">
        <w:rPr>
          <w:rFonts w:ascii="Times New Roman" w:hAnsi="Times New Roman"/>
          <w:sz w:val="22"/>
          <w:szCs w:val="22"/>
        </w:rPr>
        <w:fldChar w:fldCharType="separate"/>
      </w:r>
      <w:r w:rsidRPr="0051323A">
        <w:rPr>
          <w:rStyle w:val="Hyperlink"/>
          <w:rFonts w:ascii="Times New Roman" w:hAnsi="Times New Roman"/>
          <w:sz w:val="22"/>
          <w:szCs w:val="22"/>
        </w:rPr>
        <w:t xml:space="preserve">van Vugt, F. T., &amp; Tillmann, B. (2014). Thresholds of auditory-motor coupling measured with a simple task in musicians and non-musicians: was the sound simultaneous to the key press? </w:t>
      </w:r>
      <w:r w:rsidRPr="0051323A">
        <w:rPr>
          <w:rStyle w:val="Hyperlink"/>
          <w:rFonts w:ascii="Times New Roman" w:hAnsi="Times New Roman"/>
          <w:i/>
          <w:iCs/>
          <w:sz w:val="22"/>
          <w:szCs w:val="22"/>
        </w:rPr>
        <w:t>PLoS One, 9</w:t>
      </w:r>
      <w:r w:rsidRPr="0051323A">
        <w:rPr>
          <w:rStyle w:val="Hyperlink"/>
          <w:rFonts w:ascii="Times New Roman" w:hAnsi="Times New Roman"/>
          <w:sz w:val="22"/>
          <w:szCs w:val="22"/>
        </w:rPr>
        <w:t>(2), e87176. doi:10.1371/journal.pone.0087176</w:t>
      </w:r>
    </w:p>
    <w:p w:rsidR="00073038" w:rsidRPr="00073038" w:rsidRDefault="0051323A" w:rsidP="000730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end"/>
      </w:r>
    </w:p>
    <w:p w:rsidR="00073038" w:rsidRPr="0051323A" w:rsidRDefault="00073038" w:rsidP="00073038">
      <w:pPr>
        <w:rPr>
          <w:rStyle w:val="Hyperlink"/>
          <w:rFonts w:ascii="Times New Roman" w:hAnsi="Times New Roman"/>
          <w:sz w:val="22"/>
          <w:szCs w:val="22"/>
        </w:rPr>
      </w:pPr>
      <w:r w:rsidRPr="00073038">
        <w:rPr>
          <w:rFonts w:ascii="Times New Roman" w:hAnsi="Times New Roman"/>
          <w:sz w:val="22"/>
          <w:szCs w:val="22"/>
        </w:rPr>
        <w:t xml:space="preserve">3. </w:t>
      </w:r>
      <w:r w:rsidR="0051323A">
        <w:rPr>
          <w:rFonts w:ascii="Times New Roman" w:hAnsi="Times New Roman"/>
          <w:sz w:val="22"/>
          <w:szCs w:val="22"/>
        </w:rPr>
        <w:fldChar w:fldCharType="begin"/>
      </w:r>
      <w:r w:rsidR="0051323A">
        <w:rPr>
          <w:rFonts w:ascii="Times New Roman" w:hAnsi="Times New Roman"/>
          <w:sz w:val="22"/>
          <w:szCs w:val="22"/>
        </w:rPr>
        <w:instrText xml:space="preserve"> HYPERLINK "http://journals.plos.org/plosone/article?id=10.1371/journal.pone.0130960" </w:instrText>
      </w:r>
      <w:r w:rsidR="0051323A">
        <w:rPr>
          <w:rFonts w:ascii="Times New Roman" w:hAnsi="Times New Roman"/>
          <w:sz w:val="22"/>
          <w:szCs w:val="22"/>
        </w:rPr>
        <w:fldChar w:fldCharType="separate"/>
      </w:r>
      <w:r w:rsidRPr="0051323A">
        <w:rPr>
          <w:rStyle w:val="Hyperlink"/>
          <w:rFonts w:ascii="Times New Roman" w:hAnsi="Times New Roman"/>
          <w:sz w:val="22"/>
          <w:szCs w:val="22"/>
        </w:rPr>
        <w:t xml:space="preserve">Gerson, S. A., Schiavio, A., Timmers, R., &amp; Hunnius, S. (2015). Active Drumming Experience Increases Infants' Sensitivity to Audiovisual Synchrony during Observed Drumming Actions. </w:t>
      </w:r>
      <w:r w:rsidRPr="0051323A">
        <w:rPr>
          <w:rStyle w:val="Hyperlink"/>
          <w:rFonts w:ascii="Times New Roman" w:hAnsi="Times New Roman"/>
          <w:i/>
          <w:iCs/>
          <w:sz w:val="22"/>
          <w:szCs w:val="22"/>
        </w:rPr>
        <w:t>PLoS One, 10</w:t>
      </w:r>
      <w:r w:rsidRPr="0051323A">
        <w:rPr>
          <w:rStyle w:val="Hyperlink"/>
          <w:rFonts w:ascii="Times New Roman" w:hAnsi="Times New Roman"/>
          <w:sz w:val="22"/>
          <w:szCs w:val="22"/>
        </w:rPr>
        <w:t>(6), e0130960. doi:10.1371/journal.pone.0130960</w:t>
      </w:r>
    </w:p>
    <w:p w:rsidR="00073038" w:rsidRPr="00073038" w:rsidRDefault="0051323A" w:rsidP="000730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end"/>
      </w:r>
    </w:p>
    <w:p w:rsidR="00073038" w:rsidRPr="0051323A" w:rsidRDefault="00073038" w:rsidP="00073038">
      <w:pPr>
        <w:rPr>
          <w:rStyle w:val="Hyperlink"/>
          <w:rFonts w:ascii="Times New Roman" w:hAnsi="Times New Roman"/>
          <w:sz w:val="22"/>
          <w:szCs w:val="22"/>
        </w:rPr>
      </w:pPr>
      <w:r w:rsidRPr="00073038">
        <w:rPr>
          <w:rFonts w:ascii="Times New Roman" w:hAnsi="Times New Roman"/>
          <w:sz w:val="22"/>
          <w:szCs w:val="22"/>
        </w:rPr>
        <w:t xml:space="preserve">4. </w:t>
      </w:r>
      <w:r w:rsidR="0051323A">
        <w:rPr>
          <w:rFonts w:ascii="Times New Roman" w:hAnsi="Times New Roman"/>
          <w:sz w:val="22"/>
          <w:szCs w:val="22"/>
        </w:rPr>
        <w:fldChar w:fldCharType="begin"/>
      </w:r>
      <w:r w:rsidR="0051323A">
        <w:rPr>
          <w:rFonts w:ascii="Times New Roman" w:hAnsi="Times New Roman"/>
          <w:sz w:val="22"/>
          <w:szCs w:val="22"/>
        </w:rPr>
        <w:instrText xml:space="preserve"> HYPERLINK "http://journals.plos.org/plosone/article?id=10.1371/journal.pone.0141069" </w:instrText>
      </w:r>
      <w:r w:rsidR="0051323A">
        <w:rPr>
          <w:rFonts w:ascii="Times New Roman" w:hAnsi="Times New Roman"/>
          <w:sz w:val="22"/>
          <w:szCs w:val="22"/>
        </w:rPr>
        <w:fldChar w:fldCharType="separate"/>
      </w:r>
      <w:r w:rsidRPr="0051323A">
        <w:rPr>
          <w:rStyle w:val="Hyperlink"/>
          <w:rFonts w:ascii="Times New Roman" w:hAnsi="Times New Roman"/>
          <w:sz w:val="22"/>
          <w:szCs w:val="22"/>
        </w:rPr>
        <w:t xml:space="preserve">Kunert, R., Willems, R. M., Casasanto, D., Patel, A. D., &amp; Hagoort, P. (2015). Music and Language Syntax Interact in Broca's Area: An fMRI Study. </w:t>
      </w:r>
      <w:r w:rsidRPr="0051323A">
        <w:rPr>
          <w:rStyle w:val="Hyperlink"/>
          <w:rFonts w:ascii="Times New Roman" w:hAnsi="Times New Roman"/>
          <w:i/>
          <w:iCs/>
          <w:sz w:val="22"/>
          <w:szCs w:val="22"/>
        </w:rPr>
        <w:t>PLoS One, 10</w:t>
      </w:r>
      <w:r w:rsidRPr="0051323A">
        <w:rPr>
          <w:rStyle w:val="Hyperlink"/>
          <w:rFonts w:ascii="Times New Roman" w:hAnsi="Times New Roman"/>
          <w:sz w:val="22"/>
          <w:szCs w:val="22"/>
        </w:rPr>
        <w:t>(11), e0141069. doi:10.1371/journal.pone.0141069</w:t>
      </w:r>
    </w:p>
    <w:p w:rsidR="008F139C" w:rsidRPr="008F139C" w:rsidRDefault="0051323A" w:rsidP="008F139C">
      <w:pPr>
        <w:pStyle w:val="BodyText3"/>
        <w:spacing w:line="240" w:lineRule="auto"/>
        <w:jc w:val="left"/>
        <w:rPr>
          <w:szCs w:val="24"/>
        </w:rPr>
      </w:pPr>
      <w:r>
        <w:rPr>
          <w:rFonts w:ascii="Times New Roman" w:eastAsia="Times" w:hAnsi="Times New Roman"/>
          <w:sz w:val="22"/>
          <w:szCs w:val="22"/>
        </w:rPr>
        <w:fldChar w:fldCharType="end"/>
      </w:r>
    </w:p>
    <w:p w:rsidR="008F139C" w:rsidRPr="00073038" w:rsidRDefault="00754A55" w:rsidP="008F139C">
      <w:pPr>
        <w:pStyle w:val="BodyText3"/>
        <w:spacing w:line="240" w:lineRule="auto"/>
        <w:jc w:val="left"/>
        <w:rPr>
          <w:sz w:val="22"/>
          <w:szCs w:val="22"/>
        </w:rPr>
      </w:pPr>
      <w:r w:rsidRPr="00073038">
        <w:rPr>
          <w:sz w:val="22"/>
          <w:szCs w:val="22"/>
        </w:rPr>
        <w:t xml:space="preserve">Based on these </w:t>
      </w:r>
      <w:r w:rsidR="00544DAE">
        <w:rPr>
          <w:sz w:val="22"/>
          <w:szCs w:val="22"/>
        </w:rPr>
        <w:t>articles</w:t>
      </w:r>
      <w:r w:rsidRPr="00073038">
        <w:rPr>
          <w:sz w:val="22"/>
          <w:szCs w:val="22"/>
        </w:rPr>
        <w:t xml:space="preserve"> </w:t>
      </w:r>
      <w:r w:rsidR="008F139C" w:rsidRPr="00073038">
        <w:rPr>
          <w:sz w:val="22"/>
          <w:szCs w:val="22"/>
        </w:rPr>
        <w:t xml:space="preserve">write a ~1,500 word essay </w:t>
      </w:r>
      <w:r w:rsidRPr="00073038">
        <w:rPr>
          <w:sz w:val="22"/>
          <w:szCs w:val="22"/>
        </w:rPr>
        <w:t xml:space="preserve">that follows this format: Thesis </w:t>
      </w:r>
      <w:r w:rsidRPr="00073038">
        <w:rPr>
          <w:sz w:val="22"/>
          <w:szCs w:val="22"/>
        </w:rPr>
        <w:sym w:font="Wingdings" w:char="F0E0"/>
      </w:r>
      <w:r w:rsidRPr="00073038">
        <w:rPr>
          <w:sz w:val="22"/>
          <w:szCs w:val="22"/>
        </w:rPr>
        <w:t xml:space="preserve"> Demonstration </w:t>
      </w:r>
      <w:r w:rsidRPr="00073038">
        <w:rPr>
          <w:sz w:val="22"/>
          <w:szCs w:val="22"/>
        </w:rPr>
        <w:sym w:font="Wingdings" w:char="F0E0"/>
      </w:r>
      <w:r w:rsidRPr="00073038">
        <w:rPr>
          <w:sz w:val="22"/>
          <w:szCs w:val="22"/>
        </w:rPr>
        <w:t xml:space="preserve"> Conclusion. </w:t>
      </w:r>
      <w:r w:rsidR="00A342A8" w:rsidRPr="00073038">
        <w:rPr>
          <w:sz w:val="22"/>
          <w:szCs w:val="22"/>
        </w:rPr>
        <w:t>Please include “Thesis”, “Demonstration”, and “Conclusion</w:t>
      </w:r>
      <w:r w:rsidR="00544DAE">
        <w:rPr>
          <w:sz w:val="22"/>
          <w:szCs w:val="22"/>
        </w:rPr>
        <w:t>” sub-titles in your essay.</w:t>
      </w:r>
      <w:r w:rsidR="00A342A8" w:rsidRPr="00073038">
        <w:rPr>
          <w:sz w:val="22"/>
          <w:szCs w:val="22"/>
        </w:rPr>
        <w:t xml:space="preserve"> </w:t>
      </w:r>
      <w:r w:rsidRPr="00073038">
        <w:rPr>
          <w:sz w:val="22"/>
          <w:szCs w:val="22"/>
        </w:rPr>
        <w:t xml:space="preserve">Your thesis must be related to one or more ideas expressed or implied in the </w:t>
      </w:r>
      <w:r w:rsidR="00073038" w:rsidRPr="00073038">
        <w:rPr>
          <w:sz w:val="22"/>
          <w:szCs w:val="22"/>
        </w:rPr>
        <w:t>articles</w:t>
      </w:r>
      <w:r w:rsidRPr="00073038">
        <w:rPr>
          <w:sz w:val="22"/>
          <w:szCs w:val="22"/>
        </w:rPr>
        <w:t>. Your demonstration must contain evidence</w:t>
      </w:r>
      <w:r w:rsidR="00A342A8" w:rsidRPr="00073038">
        <w:rPr>
          <w:sz w:val="22"/>
          <w:szCs w:val="22"/>
        </w:rPr>
        <w:t xml:space="preserve"> and/or argument</w:t>
      </w:r>
      <w:r w:rsidR="00066A83" w:rsidRPr="00073038">
        <w:rPr>
          <w:sz w:val="22"/>
          <w:szCs w:val="22"/>
        </w:rPr>
        <w:t>s</w:t>
      </w:r>
      <w:r w:rsidRPr="00073038">
        <w:rPr>
          <w:sz w:val="22"/>
          <w:szCs w:val="22"/>
        </w:rPr>
        <w:t xml:space="preserve"> from each </w:t>
      </w:r>
      <w:r w:rsidR="00544DAE">
        <w:rPr>
          <w:sz w:val="22"/>
          <w:szCs w:val="22"/>
        </w:rPr>
        <w:t>article</w:t>
      </w:r>
      <w:r w:rsidRPr="00073038">
        <w:rPr>
          <w:sz w:val="22"/>
          <w:szCs w:val="22"/>
        </w:rPr>
        <w:t>, though you are free to cite a</w:t>
      </w:r>
      <w:r w:rsidR="00A342A8" w:rsidRPr="00073038">
        <w:rPr>
          <w:sz w:val="22"/>
          <w:szCs w:val="22"/>
        </w:rPr>
        <w:t xml:space="preserve">dditional sources as you like. </w:t>
      </w:r>
      <w:r w:rsidRPr="00073038">
        <w:rPr>
          <w:sz w:val="22"/>
          <w:szCs w:val="22"/>
        </w:rPr>
        <w:t>If you cite additional sources, please add a reference se</w:t>
      </w:r>
      <w:r w:rsidR="00A342A8" w:rsidRPr="00073038">
        <w:rPr>
          <w:sz w:val="22"/>
          <w:szCs w:val="22"/>
        </w:rPr>
        <w:t>ction at the end of your essay.</w:t>
      </w:r>
      <w:r w:rsidRPr="00073038">
        <w:rPr>
          <w:sz w:val="22"/>
          <w:szCs w:val="22"/>
        </w:rPr>
        <w:t xml:space="preserve"> Your conclusion must follow </w:t>
      </w:r>
      <w:r w:rsidR="00A342A8" w:rsidRPr="00073038">
        <w:rPr>
          <w:sz w:val="22"/>
          <w:szCs w:val="22"/>
        </w:rPr>
        <w:t>logically from your thesis and d</w:t>
      </w:r>
      <w:r w:rsidRPr="00073038">
        <w:rPr>
          <w:sz w:val="22"/>
          <w:szCs w:val="22"/>
        </w:rPr>
        <w:t>emonstration.</w:t>
      </w:r>
      <w:r w:rsidR="00A342A8" w:rsidRPr="00073038">
        <w:rPr>
          <w:sz w:val="22"/>
          <w:szCs w:val="22"/>
        </w:rPr>
        <w:t xml:space="preserve"> </w:t>
      </w:r>
    </w:p>
    <w:p w:rsidR="008F139C" w:rsidRPr="00073038" w:rsidRDefault="008F139C" w:rsidP="008F139C">
      <w:pPr>
        <w:pStyle w:val="ListParagraph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b/>
          <w:sz w:val="22"/>
          <w:szCs w:val="22"/>
          <w:highlight w:val="yellow"/>
        </w:rPr>
        <w:t>Rubric:</w:t>
      </w:r>
      <w:r w:rsidRPr="00073038">
        <w:rPr>
          <w:sz w:val="22"/>
          <w:szCs w:val="22"/>
          <w:highlight w:val="yellow"/>
        </w:rPr>
        <w:t xml:space="preserve"> Y</w:t>
      </w:r>
      <w:r w:rsidRPr="00073038">
        <w:rPr>
          <w:b/>
          <w:sz w:val="22"/>
          <w:szCs w:val="22"/>
          <w:highlight w:val="yellow"/>
        </w:rPr>
        <w:t xml:space="preserve">our grade will be based on 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073038">
        <w:rPr>
          <w:b/>
          <w:i/>
          <w:sz w:val="22"/>
          <w:szCs w:val="22"/>
          <w:highlight w:val="yellow"/>
          <w:u w:val="single"/>
        </w:rPr>
        <w:t>integrate disparate ideas</w:t>
      </w:r>
      <w:r w:rsidRPr="00073038">
        <w:rPr>
          <w:b/>
          <w:sz w:val="22"/>
          <w:szCs w:val="22"/>
          <w:highlight w:val="yellow"/>
        </w:rPr>
        <w:t xml:space="preserve">, and demonstrate an understanding of the sources and their </w:t>
      </w:r>
      <w:r w:rsidRPr="00073038">
        <w:rPr>
          <w:b/>
          <w:i/>
          <w:sz w:val="22"/>
          <w:szCs w:val="22"/>
          <w:highlight w:val="yellow"/>
          <w:u w:val="single"/>
        </w:rPr>
        <w:t xml:space="preserve">relevance to </w:t>
      </w:r>
      <w:r w:rsidR="00544DAE">
        <w:rPr>
          <w:b/>
          <w:i/>
          <w:sz w:val="22"/>
          <w:szCs w:val="22"/>
          <w:highlight w:val="yellow"/>
          <w:u w:val="single"/>
        </w:rPr>
        <w:t xml:space="preserve">the </w:t>
      </w:r>
      <w:r w:rsidR="00754A55" w:rsidRPr="00073038">
        <w:rPr>
          <w:b/>
          <w:i/>
          <w:sz w:val="22"/>
          <w:szCs w:val="22"/>
          <w:highlight w:val="yellow"/>
          <w:u w:val="single"/>
        </w:rPr>
        <w:t>psychology</w:t>
      </w:r>
      <w:r w:rsidR="00544DAE">
        <w:rPr>
          <w:b/>
          <w:i/>
          <w:sz w:val="22"/>
          <w:szCs w:val="22"/>
          <w:highlight w:val="yellow"/>
          <w:u w:val="single"/>
        </w:rPr>
        <w:t xml:space="preserve"> of music</w:t>
      </w:r>
      <w:r w:rsidRPr="00073038">
        <w:rPr>
          <w:b/>
          <w:sz w:val="22"/>
          <w:szCs w:val="22"/>
          <w:highlight w:val="yellow"/>
        </w:rPr>
        <w:t xml:space="preserve">. </w:t>
      </w:r>
      <w:r w:rsidRPr="00073038">
        <w:rPr>
          <w:b/>
          <w:sz w:val="22"/>
          <w:szCs w:val="22"/>
        </w:rPr>
        <w:t xml:space="preserve"> 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Use a ‘Times New Roman’ font, a ‘12’ point size and </w:t>
      </w:r>
      <w:r w:rsidRPr="00073038">
        <w:rPr>
          <w:sz w:val="22"/>
          <w:szCs w:val="22"/>
          <w:u w:val="single"/>
        </w:rPr>
        <w:t>double spacing</w:t>
      </w:r>
      <w:r w:rsidRPr="00073038">
        <w:rPr>
          <w:sz w:val="22"/>
          <w:szCs w:val="22"/>
        </w:rPr>
        <w:t xml:space="preserve">. </w:t>
      </w:r>
      <w:r w:rsidRPr="00073038">
        <w:rPr>
          <w:b/>
          <w:sz w:val="22"/>
          <w:szCs w:val="22"/>
        </w:rPr>
        <w:t>Your essay must be between 1,400-1,600 (inclusive) words in length. At the end of your essay, please report your word count. Example: “Word Count = 1,549”.</w:t>
      </w:r>
      <w:r w:rsidRPr="00073038">
        <w:rPr>
          <w:sz w:val="22"/>
          <w:szCs w:val="22"/>
        </w:rPr>
        <w:t xml:space="preserve"> In MS Word, you can determine the word count by highlighting your text, and selecting “word count” from the “Review” tab. At </w:t>
      </w:r>
      <w:r w:rsidR="00544DAE">
        <w:rPr>
          <w:sz w:val="22"/>
          <w:szCs w:val="22"/>
        </w:rPr>
        <w:t>1:30 PM</w:t>
      </w:r>
      <w:r w:rsidRPr="00073038">
        <w:rPr>
          <w:sz w:val="22"/>
          <w:szCs w:val="22"/>
        </w:rPr>
        <w:t xml:space="preserve"> (sharp!) on the assigned day, an electronic copy of the writing assignment is due in </w:t>
      </w:r>
      <w:r w:rsidR="00754A55" w:rsidRPr="00073038">
        <w:rPr>
          <w:sz w:val="22"/>
          <w:szCs w:val="22"/>
        </w:rPr>
        <w:t xml:space="preserve">Notebowl </w:t>
      </w:r>
      <w:r w:rsidRPr="00073038">
        <w:rPr>
          <w:sz w:val="22"/>
          <w:szCs w:val="22"/>
        </w:rPr>
        <w:t>and an exactly matching paper copy is due in class.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Note: Your assignment should have a cover page indicating your </w:t>
      </w:r>
      <w:r w:rsidRPr="00073038">
        <w:rPr>
          <w:b/>
          <w:sz w:val="22"/>
          <w:szCs w:val="22"/>
        </w:rPr>
        <w:t>Slayter Box Number</w:t>
      </w:r>
      <w:r w:rsidRPr="00073038">
        <w:rPr>
          <w:sz w:val="22"/>
          <w:szCs w:val="22"/>
        </w:rPr>
        <w:t xml:space="preserve"> (not your name), </w:t>
      </w:r>
      <w:r w:rsidRPr="00073038">
        <w:rPr>
          <w:b/>
          <w:sz w:val="22"/>
          <w:szCs w:val="22"/>
        </w:rPr>
        <w:t>Date</w:t>
      </w:r>
      <w:r w:rsidRPr="00073038">
        <w:rPr>
          <w:sz w:val="22"/>
          <w:szCs w:val="22"/>
        </w:rPr>
        <w:t xml:space="preserve">, </w:t>
      </w:r>
      <w:r w:rsidR="00754A55" w:rsidRPr="00073038">
        <w:rPr>
          <w:b/>
          <w:sz w:val="22"/>
          <w:szCs w:val="22"/>
        </w:rPr>
        <w:t>Integrative Essay 1</w:t>
      </w:r>
      <w:r w:rsidRPr="00073038">
        <w:rPr>
          <w:sz w:val="22"/>
          <w:szCs w:val="22"/>
        </w:rPr>
        <w:t xml:space="preserve">, </w:t>
      </w:r>
      <w:r w:rsidRPr="00073038">
        <w:rPr>
          <w:b/>
          <w:sz w:val="22"/>
          <w:szCs w:val="22"/>
        </w:rPr>
        <w:t>Dr. Matthews,</w:t>
      </w:r>
      <w:r w:rsidRPr="00073038">
        <w:rPr>
          <w:sz w:val="22"/>
          <w:szCs w:val="22"/>
        </w:rPr>
        <w:t xml:space="preserve"> and </w:t>
      </w:r>
      <w:r w:rsidRPr="00073038">
        <w:rPr>
          <w:b/>
          <w:sz w:val="22"/>
          <w:szCs w:val="22"/>
        </w:rPr>
        <w:t xml:space="preserve">PSYC </w:t>
      </w:r>
      <w:r w:rsidR="00544DAE">
        <w:rPr>
          <w:b/>
          <w:sz w:val="22"/>
          <w:szCs w:val="22"/>
        </w:rPr>
        <w:t>206</w:t>
      </w:r>
      <w:r w:rsidRPr="00073038">
        <w:rPr>
          <w:b/>
          <w:sz w:val="22"/>
          <w:szCs w:val="22"/>
        </w:rPr>
        <w:t>.</w:t>
      </w:r>
      <w:r w:rsidRPr="00073038">
        <w:rPr>
          <w:sz w:val="22"/>
          <w:szCs w:val="22"/>
        </w:rPr>
        <w:t xml:space="preserve"> </w:t>
      </w:r>
      <w:r w:rsidRPr="00073038">
        <w:rPr>
          <w:sz w:val="22"/>
          <w:szCs w:val="22"/>
          <w:u w:val="single"/>
        </w:rPr>
        <w:t xml:space="preserve">To avoid delays, print your essay at least several hours before it’s due. Also, the pages of the assignment must be stapled </w:t>
      </w:r>
      <w:r w:rsidRPr="00073038">
        <w:rPr>
          <w:b/>
          <w:i/>
          <w:sz w:val="22"/>
          <w:szCs w:val="22"/>
          <w:u w:val="single"/>
        </w:rPr>
        <w:t>before</w:t>
      </w:r>
      <w:r w:rsidRPr="00073038">
        <w:rPr>
          <w:sz w:val="22"/>
          <w:szCs w:val="22"/>
          <w:u w:val="single"/>
        </w:rPr>
        <w:t xml:space="preserve"> coming to class.</w:t>
      </w:r>
      <w:r w:rsidRPr="00073038">
        <w:rPr>
          <w:sz w:val="22"/>
          <w:szCs w:val="22"/>
        </w:rPr>
        <w:t xml:space="preserve"> Please don’t be late. </w:t>
      </w:r>
      <w:r w:rsidRPr="00073038">
        <w:rPr>
          <w:sz w:val="22"/>
          <w:szCs w:val="22"/>
        </w:rPr>
        <w:sym w:font="Wingdings" w:char="F04A"/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The assignment is worth 100 points of the 1,000 possible points for the course. Based on the above rubric, essays that I deem “satisfactory” for a 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Note: </w:t>
      </w:r>
      <w:r w:rsidR="00CD2D4E">
        <w:rPr>
          <w:sz w:val="22"/>
          <w:szCs w:val="22"/>
        </w:rPr>
        <w:t xml:space="preserve">Although you may consult with </w:t>
      </w:r>
      <w:hyperlink r:id="rId10" w:history="1">
        <w:r w:rsidR="00CD2D4E" w:rsidRPr="00CD2D4E">
          <w:rPr>
            <w:rStyle w:val="Hyperlink"/>
            <w:sz w:val="22"/>
            <w:szCs w:val="22"/>
          </w:rPr>
          <w:t>Denison’s Writing Center</w:t>
        </w:r>
      </w:hyperlink>
      <w:r w:rsidR="00CD2D4E">
        <w:rPr>
          <w:sz w:val="22"/>
          <w:szCs w:val="22"/>
        </w:rPr>
        <w:t>, in all other ways y</w:t>
      </w:r>
      <w:r w:rsidRPr="00073038">
        <w:rPr>
          <w:sz w:val="22"/>
          <w:szCs w:val="22"/>
        </w:rPr>
        <w:t>ou must work alone on this assignment. To earn any credit on this assignment, you must also participate in the Writing Workshop session.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b/>
          <w:sz w:val="22"/>
          <w:szCs w:val="22"/>
        </w:rPr>
      </w:pPr>
      <w:r w:rsidRPr="00073038">
        <w:rPr>
          <w:b/>
          <w:sz w:val="22"/>
          <w:szCs w:val="22"/>
        </w:rPr>
        <w:t xml:space="preserve">Good luck, and most importantly, have fun with this assignment! </w:t>
      </w:r>
      <w:r w:rsidRPr="00073038">
        <w:rPr>
          <w:b/>
          <w:sz w:val="22"/>
          <w:szCs w:val="22"/>
        </w:rPr>
        <w:sym w:font="Wingdings" w:char="F04A"/>
      </w:r>
      <w:r w:rsidRPr="00073038">
        <w:rPr>
          <w:b/>
          <w:sz w:val="22"/>
          <w:szCs w:val="22"/>
        </w:rPr>
        <w:t xml:space="preserve"> </w:t>
      </w:r>
    </w:p>
    <w:p w:rsidR="008F139C" w:rsidRDefault="008F139C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1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2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3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4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5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6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7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  <w:t xml:space="preserve">sentence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8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19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0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1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00" w:rsidRDefault="00E27A00" w:rsidP="005C49F2">
      <w:r>
        <w:separator/>
      </w:r>
    </w:p>
  </w:endnote>
  <w:endnote w:type="continuationSeparator" w:id="0">
    <w:p w:rsidR="00E27A00" w:rsidRDefault="00E27A0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00" w:rsidRDefault="00E27A00" w:rsidP="005C49F2">
      <w:r>
        <w:separator/>
      </w:r>
    </w:p>
  </w:footnote>
  <w:footnote w:type="continuationSeparator" w:id="0">
    <w:p w:rsidR="00E27A00" w:rsidRDefault="00E27A0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73038"/>
    <w:rsid w:val="000B337D"/>
    <w:rsid w:val="000B4E93"/>
    <w:rsid w:val="000E604F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8766C"/>
    <w:rsid w:val="0029485D"/>
    <w:rsid w:val="002A68A9"/>
    <w:rsid w:val="002B2F59"/>
    <w:rsid w:val="002D5AD0"/>
    <w:rsid w:val="002E1BE5"/>
    <w:rsid w:val="0031539A"/>
    <w:rsid w:val="003312EE"/>
    <w:rsid w:val="003378DA"/>
    <w:rsid w:val="00342554"/>
    <w:rsid w:val="00344F21"/>
    <w:rsid w:val="00351135"/>
    <w:rsid w:val="00352AFE"/>
    <w:rsid w:val="00354793"/>
    <w:rsid w:val="00354948"/>
    <w:rsid w:val="00376C19"/>
    <w:rsid w:val="00377476"/>
    <w:rsid w:val="00381FAB"/>
    <w:rsid w:val="003B4233"/>
    <w:rsid w:val="003C1140"/>
    <w:rsid w:val="003F4D03"/>
    <w:rsid w:val="004052F0"/>
    <w:rsid w:val="00440537"/>
    <w:rsid w:val="0045788F"/>
    <w:rsid w:val="0047244E"/>
    <w:rsid w:val="004F1B16"/>
    <w:rsid w:val="004F3346"/>
    <w:rsid w:val="004F68AB"/>
    <w:rsid w:val="004F7A6C"/>
    <w:rsid w:val="00510124"/>
    <w:rsid w:val="00512137"/>
    <w:rsid w:val="0051323A"/>
    <w:rsid w:val="00531C4A"/>
    <w:rsid w:val="00544DAE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54A55"/>
    <w:rsid w:val="007713CD"/>
    <w:rsid w:val="00784157"/>
    <w:rsid w:val="00791B06"/>
    <w:rsid w:val="007A52FC"/>
    <w:rsid w:val="007B37C1"/>
    <w:rsid w:val="007E103D"/>
    <w:rsid w:val="007E60A1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4568"/>
    <w:rsid w:val="008C770E"/>
    <w:rsid w:val="008D40C2"/>
    <w:rsid w:val="008E0A5A"/>
    <w:rsid w:val="008E6E0B"/>
    <w:rsid w:val="008F139C"/>
    <w:rsid w:val="00913E34"/>
    <w:rsid w:val="00935CFF"/>
    <w:rsid w:val="00942E99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81DC9"/>
    <w:rsid w:val="00C934E1"/>
    <w:rsid w:val="00C979DC"/>
    <w:rsid w:val="00CA57E8"/>
    <w:rsid w:val="00CA702D"/>
    <w:rsid w:val="00CC5503"/>
    <w:rsid w:val="00CD1300"/>
    <w:rsid w:val="00CD2D4E"/>
    <w:rsid w:val="00CE0A45"/>
    <w:rsid w:val="00CE18A1"/>
    <w:rsid w:val="00CF0FED"/>
    <w:rsid w:val="00D13AA7"/>
    <w:rsid w:val="00D574DD"/>
    <w:rsid w:val="00DA1170"/>
    <w:rsid w:val="00E27A00"/>
    <w:rsid w:val="00E3434E"/>
    <w:rsid w:val="00E4480C"/>
    <w:rsid w:val="00E87D51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LOS" TargetMode="External"/><Relationship Id="rId13" Type="http://schemas.openxmlformats.org/officeDocument/2006/relationships/hyperlink" Target="https://en.wikipedia.org/wiki/Nominalization" TargetMode="External"/><Relationship Id="rId18" Type="http://schemas.openxmlformats.org/officeDocument/2006/relationships/hyperlink" Target="http://writingcenter.unc.edu/handouts/summary-using-it-wisel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lcc.edu/Student_Resources/Academic_Resources/Writing_Resources/Grammar_Handouts/To-be-Verbs.pdf" TargetMode="External"/><Relationship Id="rId17" Type="http://schemas.openxmlformats.org/officeDocument/2006/relationships/hyperlink" Target="http://en.wikipedia.org/wiki/Parallelism_(grammar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ammar.ccc.commnet.edu/grammar/concise.htm" TargetMode="External"/><Relationship Id="rId20" Type="http://schemas.openxmlformats.org/officeDocument/2006/relationships/hyperlink" Target="http://writingcenter.unc.edu/handouts/argu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ubjunctive_moo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p.duke.edu/uploads/assets/clarity%20and%20concisenes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.denison.edu/web/home-community/campus-resources?gpi=10186" TargetMode="External"/><Relationship Id="rId19" Type="http://schemas.openxmlformats.org/officeDocument/2006/relationships/hyperlink" Target="https://www.agnesscott.edu/writingandspeaking/files/documents/W13%20Summary%20versus%20Analysi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plos.org/plosone/article?id=10.1371/journal.pone.0165377" TargetMode="External"/><Relationship Id="rId14" Type="http://schemas.openxmlformats.org/officeDocument/2006/relationships/hyperlink" Target="https://owl.english.purdue.edu/owl/resource/572/0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EFE8-4075-4DA9-B647-8B29B7A8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10</cp:revision>
  <cp:lastPrinted>2017-02-07T00:25:00Z</cp:lastPrinted>
  <dcterms:created xsi:type="dcterms:W3CDTF">2017-02-07T02:09:00Z</dcterms:created>
  <dcterms:modified xsi:type="dcterms:W3CDTF">2017-02-23T12:24:00Z</dcterms:modified>
</cp:coreProperties>
</file>